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EF835" w14:textId="77777777" w:rsidR="007834CE" w:rsidRPr="007834CE" w:rsidRDefault="007834CE" w:rsidP="007834CE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eastAsia="Calibri" w:hAnsi="Times New Roman" w:cs="Times New Roman"/>
          <w:bCs/>
          <w:kern w:val="0"/>
          <w:sz w:val="20"/>
          <w:szCs w:val="20"/>
          <w:lang w:eastAsia="zh-CN"/>
          <w14:ligatures w14:val="none"/>
        </w:rPr>
      </w:pPr>
      <w:r w:rsidRPr="007834CE">
        <w:rPr>
          <w:rFonts w:ascii="Times New Roman" w:eastAsia="Calibri" w:hAnsi="Times New Roman" w:cs="Times New Roman"/>
          <w:bCs/>
          <w:kern w:val="0"/>
          <w:sz w:val="20"/>
          <w:szCs w:val="20"/>
          <w:lang w:eastAsia="zh-CN"/>
          <w14:ligatures w14:val="none"/>
        </w:rPr>
        <w:t xml:space="preserve">Pirkimo sąlygų </w:t>
      </w:r>
    </w:p>
    <w:p w14:paraId="352502CA" w14:textId="7041EB2B" w:rsidR="007834CE" w:rsidRPr="007834CE" w:rsidRDefault="007834CE" w:rsidP="007834CE">
      <w:pPr>
        <w:tabs>
          <w:tab w:val="left" w:pos="284"/>
        </w:tabs>
        <w:suppressAutoHyphens/>
        <w:spacing w:after="0" w:line="240" w:lineRule="auto"/>
        <w:jc w:val="right"/>
        <w:rPr>
          <w:rFonts w:ascii="Times New Roman" w:eastAsia="Calibri" w:hAnsi="Times New Roman" w:cs="Times New Roman"/>
          <w:bCs/>
          <w:kern w:val="0"/>
          <w:sz w:val="20"/>
          <w:szCs w:val="20"/>
          <w:lang w:eastAsia="zh-CN"/>
          <w14:ligatures w14:val="none"/>
        </w:rPr>
      </w:pPr>
      <w:r w:rsidRPr="007834CE">
        <w:rPr>
          <w:rFonts w:ascii="Times New Roman" w:eastAsia="Calibri" w:hAnsi="Times New Roman" w:cs="Times New Roman"/>
          <w:bCs/>
          <w:kern w:val="0"/>
          <w:sz w:val="20"/>
          <w:szCs w:val="20"/>
          <w:lang w:eastAsia="zh-CN"/>
          <w14:ligatures w14:val="none"/>
        </w:rPr>
        <w:t>1</w:t>
      </w:r>
      <w:r>
        <w:rPr>
          <w:rFonts w:ascii="Times New Roman" w:eastAsia="Calibri" w:hAnsi="Times New Roman" w:cs="Times New Roman"/>
          <w:bCs/>
          <w:kern w:val="0"/>
          <w:sz w:val="20"/>
          <w:szCs w:val="20"/>
          <w:lang w:eastAsia="zh-CN"/>
          <w14:ligatures w14:val="none"/>
        </w:rPr>
        <w:t>.1.</w:t>
      </w:r>
      <w:r w:rsidRPr="007834CE">
        <w:rPr>
          <w:rFonts w:ascii="Times New Roman" w:eastAsia="Calibri" w:hAnsi="Times New Roman" w:cs="Times New Roman"/>
          <w:bCs/>
          <w:kern w:val="0"/>
          <w:sz w:val="20"/>
          <w:szCs w:val="20"/>
          <w:lang w:eastAsia="zh-CN"/>
          <w14:ligatures w14:val="none"/>
        </w:rPr>
        <w:t xml:space="preserve"> priedas „</w:t>
      </w:r>
      <w:r>
        <w:rPr>
          <w:rFonts w:ascii="Times New Roman" w:eastAsia="Calibri" w:hAnsi="Times New Roman" w:cs="Times New Roman"/>
          <w:bCs/>
          <w:kern w:val="0"/>
          <w:sz w:val="20"/>
          <w:szCs w:val="20"/>
          <w:lang w:eastAsia="zh-CN"/>
          <w14:ligatures w14:val="none"/>
        </w:rPr>
        <w:t>Dėl FIDIC sąrašo</w:t>
      </w:r>
      <w:r w:rsidRPr="007834CE">
        <w:rPr>
          <w:rFonts w:ascii="Times New Roman" w:eastAsia="Calibri" w:hAnsi="Times New Roman" w:cs="Times New Roman"/>
          <w:bCs/>
          <w:kern w:val="0"/>
          <w:sz w:val="20"/>
          <w:szCs w:val="20"/>
          <w:lang w:eastAsia="zh-CN"/>
          <w14:ligatures w14:val="none"/>
        </w:rPr>
        <w:t>“</w:t>
      </w:r>
    </w:p>
    <w:p w14:paraId="7F4DEFBC" w14:textId="77777777" w:rsidR="00135210" w:rsidRDefault="00135210" w:rsidP="007834CE">
      <w:pPr>
        <w:jc w:val="both"/>
        <w:rPr>
          <w:rFonts w:asciiTheme="majorBidi" w:hAnsiTheme="majorBidi" w:cstheme="majorBidi"/>
        </w:rPr>
      </w:pPr>
    </w:p>
    <w:p w14:paraId="6874E936" w14:textId="02B54613" w:rsidR="00351EBC" w:rsidRDefault="007834CE" w:rsidP="007834CE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F67858" w:rsidRPr="00F67858">
        <w:rPr>
          <w:rFonts w:asciiTheme="majorBidi" w:hAnsiTheme="majorBidi" w:cstheme="majorBidi"/>
        </w:rPr>
        <w:t>FIDIC inžinieriaus ir statybos darbų techninės priežiūros paslaug</w:t>
      </w:r>
      <w:r w:rsidR="00F67858">
        <w:rPr>
          <w:rFonts w:asciiTheme="majorBidi" w:hAnsiTheme="majorBidi" w:cstheme="majorBidi"/>
        </w:rPr>
        <w:t xml:space="preserve">os planuojamos susisiekimo komunikacijų </w:t>
      </w:r>
      <w:r w:rsidR="00D57796">
        <w:rPr>
          <w:rFonts w:asciiTheme="majorBidi" w:hAnsiTheme="majorBidi" w:cstheme="majorBidi"/>
        </w:rPr>
        <w:t xml:space="preserve">ir kitų inžinerinių statinių </w:t>
      </w:r>
      <w:r w:rsidR="00F67858">
        <w:rPr>
          <w:rFonts w:asciiTheme="majorBidi" w:hAnsiTheme="majorBidi" w:cstheme="majorBidi"/>
        </w:rPr>
        <w:t>objektams: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0"/>
        <w:gridCol w:w="2719"/>
      </w:tblGrid>
      <w:tr w:rsidR="00F67858" w14:paraId="017204A9" w14:textId="4E71BB25" w:rsidTr="007834CE">
        <w:trPr>
          <w:trHeight w:val="420"/>
          <w:jc w:val="center"/>
        </w:trPr>
        <w:tc>
          <w:tcPr>
            <w:tcW w:w="4390" w:type="dxa"/>
          </w:tcPr>
          <w:p w14:paraId="191CD05B" w14:textId="560143AF" w:rsidR="00F67858" w:rsidRDefault="00F6785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Objektai, kurių rangos darbų vertė nuo            2 000000 iki 3 800000 Eur su PVM</w:t>
            </w:r>
          </w:p>
        </w:tc>
        <w:tc>
          <w:tcPr>
            <w:tcW w:w="2719" w:type="dxa"/>
          </w:tcPr>
          <w:p w14:paraId="7C254F7B" w14:textId="5027FC3D" w:rsidR="00F67858" w:rsidRDefault="00F6785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 objektai</w:t>
            </w:r>
          </w:p>
        </w:tc>
      </w:tr>
      <w:tr w:rsidR="00F67858" w14:paraId="06DDDD85" w14:textId="77777777" w:rsidTr="007834CE">
        <w:trPr>
          <w:trHeight w:val="420"/>
          <w:jc w:val="center"/>
        </w:trPr>
        <w:tc>
          <w:tcPr>
            <w:tcW w:w="4390" w:type="dxa"/>
          </w:tcPr>
          <w:p w14:paraId="0ED817AC" w14:textId="2B8C1E09" w:rsidR="00F67858" w:rsidRDefault="00F6785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Objektai, kurių rangos darbų vertė nuo            3 800000 iki 8 000000 Eur su PVM</w:t>
            </w:r>
          </w:p>
        </w:tc>
        <w:tc>
          <w:tcPr>
            <w:tcW w:w="2719" w:type="dxa"/>
          </w:tcPr>
          <w:p w14:paraId="1310CEE5" w14:textId="75D118AA" w:rsidR="00F67858" w:rsidRDefault="00F6785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 objektai</w:t>
            </w:r>
          </w:p>
        </w:tc>
      </w:tr>
      <w:tr w:rsidR="00F67858" w14:paraId="3A340E88" w14:textId="77777777" w:rsidTr="007834CE">
        <w:trPr>
          <w:trHeight w:val="420"/>
          <w:jc w:val="center"/>
        </w:trPr>
        <w:tc>
          <w:tcPr>
            <w:tcW w:w="4390" w:type="dxa"/>
          </w:tcPr>
          <w:p w14:paraId="321F3EBC" w14:textId="58EBDB4A" w:rsidR="00F67858" w:rsidRDefault="00F6785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Objektai, kurių rangos darbų vertė daugiau negu 8 000000</w:t>
            </w:r>
          </w:p>
        </w:tc>
        <w:tc>
          <w:tcPr>
            <w:tcW w:w="2719" w:type="dxa"/>
          </w:tcPr>
          <w:p w14:paraId="73B6785A" w14:textId="1517C879" w:rsidR="00F67858" w:rsidRDefault="00F6785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1-2 obj</w:t>
            </w:r>
            <w:r w:rsidR="00D57796">
              <w:rPr>
                <w:rFonts w:asciiTheme="majorBidi" w:hAnsiTheme="majorBidi" w:cstheme="majorBidi"/>
              </w:rPr>
              <w:t>ektai</w:t>
            </w:r>
          </w:p>
        </w:tc>
      </w:tr>
    </w:tbl>
    <w:p w14:paraId="5C2EFD88" w14:textId="77777777" w:rsidR="009F36E9" w:rsidRDefault="009F36E9" w:rsidP="009F36E9">
      <w:pPr>
        <w:rPr>
          <w:rFonts w:asciiTheme="majorBidi" w:hAnsiTheme="majorBidi" w:cstheme="majorBidi"/>
        </w:rPr>
      </w:pPr>
    </w:p>
    <w:p w14:paraId="5EE055D1" w14:textId="73E1C766" w:rsidR="009F36E9" w:rsidRPr="009F36E9" w:rsidRDefault="007834CE" w:rsidP="007834CE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9F36E9" w:rsidRPr="009F36E9">
        <w:rPr>
          <w:rFonts w:asciiTheme="majorBidi" w:hAnsiTheme="majorBidi" w:cstheme="majorBidi"/>
        </w:rPr>
        <w:t>Bendras objektų kiekis gali būti didinamas arba mažinamas ne daugiau kaip ± 4 vienetų. Paslaugos pagal sutartį laikomos pasibaigusiomis, kai yra išnaudotos sutartyje numatytos lėšos arba pasibaigia sutarties galiojimo terminas – priklausomai nuo to, kuri aplinkybė įvyksta anksčiau.</w:t>
      </w:r>
    </w:p>
    <w:sectPr w:rsidR="009F36E9" w:rsidRPr="009F36E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858"/>
    <w:rsid w:val="00135210"/>
    <w:rsid w:val="00351EBC"/>
    <w:rsid w:val="00387D91"/>
    <w:rsid w:val="0046030F"/>
    <w:rsid w:val="007834CE"/>
    <w:rsid w:val="009F36E9"/>
    <w:rsid w:val="00AC209C"/>
    <w:rsid w:val="00CC446F"/>
    <w:rsid w:val="00D36227"/>
    <w:rsid w:val="00D57796"/>
    <w:rsid w:val="00F6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CDE80"/>
  <w15:chartTrackingRefBased/>
  <w15:docId w15:val="{CCD97518-0142-4DD4-88C6-66052CE1B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678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678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678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678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678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678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678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678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678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678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678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678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6785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6785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6785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6785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6785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6785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678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67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678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678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678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6785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6785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6785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678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6785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678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Mačernė</dc:creator>
  <cp:keywords/>
  <dc:description/>
  <cp:lastModifiedBy>PC31</cp:lastModifiedBy>
  <cp:revision>4</cp:revision>
  <dcterms:created xsi:type="dcterms:W3CDTF">2026-02-12T13:11:00Z</dcterms:created>
  <dcterms:modified xsi:type="dcterms:W3CDTF">2026-02-18T13:51:00Z</dcterms:modified>
</cp:coreProperties>
</file>